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51C8">
        <w:rPr>
          <w:rFonts w:ascii="Times New Roman" w:hAnsi="Times New Roman" w:cs="Times New Roman"/>
          <w:sz w:val="28"/>
          <w:szCs w:val="28"/>
        </w:rPr>
        <w:t>В ЕГРН внесены сведения о 1183 объектах реестра границ Омской области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 xml:space="preserve">В рамках реализации госпрограммы «Национальная система пространственных данных»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 продолжают совместную работу по наполнению Единого государственного реестра недвижимости (ЕГРН) точными данными, в том числе за счет работы со сведениями реестра границ.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 xml:space="preserve">«Понятие «реестр границ» появилось в законодательстве с вступлением в силу с 1 января 2017 года Федерального закона от 13 июля 2015 года № 218-ФЗ «О государственной регистрации недвижимости». Являясь составной частью ЕГРН, реестр границ содержит в отдельной базе сведения о границах административно-территориальных образований, границах территорий, имеющих культурное, природоохранное и иное значение для общества и государства, что влечет за собой особые условия эксплуатации этих участков земли. Информация о правовом режиме использования данной категории объектов недвижимости, об установленных ограничениях и обременениях в границах зон с особыми условиями использования территории отображается на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карта», — пояснил руководитель Управления Росреестра по Омской области Сергей Чаплин.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В III квартале 2024 года специалистами филиала ППК «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>» по Омской области в ЕГРН внесены сведения о границах 1183 объектов реестра границ, из них: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- 12 муниципальных образований Омской области;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- 27 населенных пунктов;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- 564 территориальные зоны;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- 514 зон с особыми условиями использования территории;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- 2 проекта межевания территории;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- 64 публичных сервитута.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Сведения об объектах реестра границ вносятся в ЕГРН в порядке межведомственного информационного взаимодействия с органами государственной власти и местного самоуправления.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Пресс-релиз Управления Росреестра по Омской области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Новые правила и сроки оповещения правообладателями земельных участков ППК «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» о повреждении или утрате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геопунктов</w:t>
      </w:r>
      <w:proofErr w:type="spellEnd"/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Управление Росреестра по Омской области информирует о том, что с 1 сентября 2024 года вступил в силу новый Порядок уведомления о случаях повреждения или уничтожения геодезических пунктов, утвержденный Приказом от 27 марта 2024 года № П/0081/24.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В соответствии с Порядком уведомления правообладатели объектов недвижимости, на которых эти пункты находятся, а также все лица, выполняющие геодезические и картографические работы при осуществлении градостроительной и кадастровой деятельности, землеустройства, недропользования, иной деятельности, в случае выявления повреждения или уничтожения пункта в течение 15 календарных дней со дня обнаружения обязаны однократно направить в публично-правовую компанию «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>» информацию о повреждении или уничтожении пункта.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Информацию можно представить одним из следующих способов: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- в бумажном виде посредством почтового отправления (документ должен быть подписан направляющим его лицом и заверен печатью (при наличии));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- в электронном виде направить по адресу электронной почты (документ должен быть подписан направляющим его лицом и заверен печатью (при наличии));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lastRenderedPageBreak/>
        <w:t>- заполнить специальный раздел официального сайта ППК «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>» в сети «Интернет»;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- вручить при личном обращении в ППК «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>».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Информация о повреждении или уничтожении пункта должна содержать: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· фамилию, имя, отчество физического лица, адрес регистрации, идентификационный номер налогоплательщика, адрес электронной почты (при наличии) и телефонный номер; наименование и адрес юридического лица, идентификационный номер налогоплательщика, адрес электронной почты (при наличии) и телефонный номер;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· сведения о состоянии пункта (поврежден или уничтожен);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· сведения о местоположении пункта и (или) кадастровый номер объекта недвижимости, на котором находится (находился) пункт;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· если известны – причины повреждения или уничтожения пункта;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· если известно – направляемая информация также может содержать название, тип центра, тип знака и номер марки пункта;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· к направляемой информации нужно приложить фото- или видеоматериалы с места нахождения пункта.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«В 2024 году специалистами Управления обследовано 205 геодезических пунктов, при этом выявлено уничтожение 3-х пунктов и повреждение 18-ти пунктов государственной геодезической сети, а также уничтожение 42-х пунктов государственной нивелирной сети. ППК «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» обобщает предоставленную информацию об утраченных и поврежденных пунктах с целью принятия решения об их восстановлении», – отметил заместитель </w:t>
      </w:r>
      <w:r w:rsidRPr="00BA51C8">
        <w:rPr>
          <w:rFonts w:ascii="Times New Roman" w:hAnsi="Times New Roman" w:cs="Times New Roman"/>
          <w:sz w:val="28"/>
          <w:szCs w:val="28"/>
        </w:rPr>
        <w:lastRenderedPageBreak/>
        <w:t>руководителя Управления Росреестра по Омской области Владимир Созонтов.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Омские дачники с начала года на своих садовых участках построили рекордное количество жилых домов, подлежащих газификации, – 1 210 объектов общей площадью 100 871 кв. м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В Омской области за 10 месяцев 2024 года завершено строительство 1210 жилых домов на земельных участках, предназначенных для ведения садоводства и дачного строительства, общей площадью 100 871 кв. м. Показатель в 1,9 раза больше количества построенных в регионе таких домовладений за аналогичный период прошлого года (648 домов общей площадью 58 900 кв. м) и уже превышает общее количество построенных частных домов за весь 2023 год (744).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Средняя площадь садового жилого дома по региону составляет 83,4 кв. м.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 xml:space="preserve">Основная масса жилых домов (98,3 %) приходится на садоводческие товарищества, находящиеся в пределах города Омска (864 объекта недвижимости, или 71,4 %) и Омского муниципального района (325 домов, или 26,9 %), на остальные районы – только 1,7 % (14 построек). Так, по 7 домов в границах СНТ построено в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 и Таврических районах, 2 – в Азовском, по 1 – в Знаменском,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Марьяновском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>, Тюкалинском и Черлакском.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При этом большей площадью отличаются дома названной категории, возведенные именно в районах области. Так, средняя площадь жилого садового дома в городе Омске составляет 73,7 кв. м, в свою очередь в муниципальных районах почти в 1,5 раза больше – 107,3 кв. м.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За 10 месяцев текущего года на земельных участках, предназначенных для ведения садоводства, омичи чаще всего строили двухэтажные (688 домов, или 56,8 %) и одноэтажные (516, или 42,6%) объекты. Шестеро омичей стали обладателями трехэтажных домов, их общая площадь составляет 932 кв. м.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В целом, в Омской области на территориях СНТ построено домов площадью до 50 кв. м – 339 (28%), от 50 до 100 кв. м – 519 (42,9 %), от 100 до 200 кв. м – 308 (25,5%), площадью свыше 200 кв. м – 44 (3,6%).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Два самых больших дома площадью 422 кв. м и 482,4 кв. м возведены соответственно в поселке Омском и деревне Зелёное Поле Омского муниципального района.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При строительстве своих домов жители Омского региона отдают предпочтение деревянному (321), кирпичному (296), блочному (132) домостроению, 461 дом построен из смешанных и иных материалов.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 xml:space="preserve">«Во все 1210 домов, построенные омичами на садовых участках в этом году можно провести газ, поскольку выполнено основное условие для программы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 СНТ – все строения зарегистрированы в ЕГРН как жилые здания, то есть пригодные для круглогодичного пребывания в них. В свою очередь в уже имеющиеся садовые дома также можно провести тепло, переведя их в статус жилых в соответствии с постановлением Правительства РФ от 28 января 2006 года № 47. Также садоводу нужно позаботиться о том, чтобы было оформлено право на земельный участок, на котором находится строение. Сейчас есть преимущество – до 1 марта 2031 года садовый или огородный участок можно приобрести без проведения торгов в собственность бесплатно в случае, предусмотренном п. 2.7 статьи 3 Закона от 25.10.2001 № 137-ФЗ», – отметил руководитель Управления Росреестра по Омской области Сергей Чаплин.</w:t>
      </w: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 xml:space="preserve">В ситуации расширения и роста темпов газификации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 разработал методические рекомендации в целях реализации поручения Президента РФ по бесплатной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 СНТ. Материалы в простой и доступной форме помогут гражданам разобраться с процедурой участия программе социальной </w:t>
      </w:r>
      <w:proofErr w:type="spellStart"/>
      <w:r w:rsidRPr="00BA51C8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BA51C8">
        <w:rPr>
          <w:rFonts w:ascii="Times New Roman" w:hAnsi="Times New Roman" w:cs="Times New Roman"/>
          <w:sz w:val="28"/>
          <w:szCs w:val="28"/>
        </w:rPr>
        <w:t xml:space="preserve">. Уже сейчас ознакомиться с методичкой можно здесь: </w:t>
      </w:r>
      <w:proofErr w:type="gramStart"/>
      <w:r w:rsidRPr="00BA51C8">
        <w:rPr>
          <w:rFonts w:ascii="Times New Roman" w:hAnsi="Times New Roman" w:cs="Times New Roman"/>
          <w:sz w:val="28"/>
          <w:szCs w:val="28"/>
        </w:rPr>
        <w:t>https://rosreestr.gov.ru/open-service/obzor-zakonov-o-nedvizhimosti/shagi-dlya-dogazifikatsii-zhilykh-domov-v-snt/ .</w:t>
      </w:r>
      <w:proofErr w:type="gramEnd"/>
    </w:p>
    <w:p w:rsidR="00BA51C8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</w:p>
    <w:p w:rsidR="00122BED" w:rsidRPr="00BA51C8" w:rsidRDefault="00BA51C8" w:rsidP="00BA51C8">
      <w:pPr>
        <w:rPr>
          <w:rFonts w:ascii="Times New Roman" w:hAnsi="Times New Roman" w:cs="Times New Roman"/>
          <w:sz w:val="28"/>
          <w:szCs w:val="28"/>
        </w:rPr>
      </w:pPr>
      <w:r w:rsidRPr="00BA51C8"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  <w:bookmarkEnd w:id="0"/>
    </w:p>
    <w:sectPr w:rsidR="00122BED" w:rsidRPr="00BA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FF"/>
    <w:rsid w:val="00122BED"/>
    <w:rsid w:val="004F3FFF"/>
    <w:rsid w:val="00B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8E294-F477-47F6-B3A7-30624D6E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2025-05-16T05:16:00Z</dcterms:created>
  <dcterms:modified xsi:type="dcterms:W3CDTF">2025-05-16T05:17:00Z</dcterms:modified>
</cp:coreProperties>
</file>